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E6" w:rsidRPr="00A775E6" w:rsidRDefault="00A775E6" w:rsidP="00A775E6">
      <w:pPr>
        <w:keepNext/>
        <w:keepLines/>
        <w:spacing w:after="0" w:line="240" w:lineRule="auto"/>
        <w:contextualSpacing/>
        <w:jc w:val="center"/>
        <w:outlineLvl w:val="0"/>
        <w:rPr>
          <w:rFonts w:asciiTheme="majorHAnsi" w:eastAsia="Times New Roman" w:hAnsiTheme="majorHAnsi" w:cstheme="majorBidi"/>
          <w:b/>
          <w:sz w:val="24"/>
          <w:szCs w:val="32"/>
          <w:lang w:val="en-US" w:eastAsia="el-GR"/>
        </w:rPr>
      </w:pPr>
      <w:r w:rsidRPr="00A775E6">
        <w:rPr>
          <w:rFonts w:asciiTheme="majorHAnsi" w:eastAsia="Times New Roman" w:hAnsiTheme="majorHAnsi" w:cstheme="majorBidi"/>
          <w:b/>
          <w:sz w:val="24"/>
          <w:szCs w:val="32"/>
          <w:lang w:val="en-US" w:eastAsia="el-GR"/>
        </w:rPr>
        <w:t xml:space="preserve">An Electrochemical Evaluation of Electron Transfer in </w:t>
      </w:r>
      <w:proofErr w:type="spellStart"/>
      <w:r w:rsidRPr="00A775E6">
        <w:rPr>
          <w:rFonts w:asciiTheme="majorHAnsi" w:eastAsia="Times New Roman" w:hAnsiTheme="majorHAnsi" w:cstheme="majorBidi"/>
          <w:b/>
          <w:sz w:val="24"/>
          <w:szCs w:val="32"/>
          <w:lang w:val="en-US" w:eastAsia="el-GR"/>
        </w:rPr>
        <w:t>Biocomposite</w:t>
      </w:r>
      <w:proofErr w:type="spellEnd"/>
      <w:r w:rsidRPr="00A775E6">
        <w:rPr>
          <w:rFonts w:asciiTheme="majorHAnsi" w:eastAsia="Times New Roman" w:hAnsiTheme="majorHAnsi" w:cstheme="majorBidi"/>
          <w:b/>
          <w:sz w:val="24"/>
          <w:szCs w:val="32"/>
          <w:lang w:val="en-US" w:eastAsia="el-GR"/>
        </w:rPr>
        <w:t xml:space="preserve"> Based on </w:t>
      </w:r>
      <w:proofErr w:type="spellStart"/>
      <w:r w:rsidRPr="00A775E6">
        <w:rPr>
          <w:rFonts w:asciiTheme="majorHAnsi" w:eastAsia="Times New Roman" w:hAnsiTheme="majorHAnsi" w:cstheme="majorBidi"/>
          <w:b/>
          <w:sz w:val="24"/>
          <w:szCs w:val="32"/>
          <w:lang w:val="en-US" w:eastAsia="el-GR"/>
        </w:rPr>
        <w:t>Polypyrrole</w:t>
      </w:r>
      <w:proofErr w:type="spellEnd"/>
      <w:r w:rsidRPr="00A775E6">
        <w:rPr>
          <w:rFonts w:asciiTheme="majorHAnsi" w:eastAsia="Times New Roman" w:hAnsiTheme="majorHAnsi" w:cstheme="majorBidi"/>
          <w:b/>
          <w:sz w:val="24"/>
          <w:szCs w:val="32"/>
          <w:lang w:val="en-US" w:eastAsia="el-GR"/>
        </w:rPr>
        <w:t>, Carbon Nanotubes and Saccharomyces Cerevisiae</w:t>
      </w:r>
    </w:p>
    <w:p w:rsidR="00A775E6" w:rsidRPr="00A775E6" w:rsidRDefault="00A775E6" w:rsidP="00A775E6">
      <w:pPr>
        <w:keepNext/>
        <w:keepLines/>
        <w:spacing w:after="0" w:line="240" w:lineRule="auto"/>
        <w:contextualSpacing/>
        <w:jc w:val="center"/>
        <w:outlineLvl w:val="0"/>
        <w:rPr>
          <w:rFonts w:asciiTheme="majorHAnsi" w:eastAsia="Times New Roman" w:hAnsiTheme="majorHAnsi" w:cstheme="majorBidi"/>
          <w:b/>
          <w:lang w:val="en-US" w:eastAsia="el-GR"/>
        </w:rPr>
      </w:pPr>
    </w:p>
    <w:p w:rsidR="00A775E6" w:rsidRPr="00A775E6" w:rsidRDefault="00A775E6" w:rsidP="00A775E6">
      <w:pPr>
        <w:keepNext/>
        <w:keepLines/>
        <w:spacing w:after="0" w:line="240" w:lineRule="auto"/>
        <w:contextualSpacing/>
        <w:jc w:val="center"/>
        <w:outlineLvl w:val="0"/>
        <w:rPr>
          <w:rFonts w:asciiTheme="majorHAnsi" w:eastAsia="Times New Roman" w:hAnsiTheme="majorHAnsi" w:cstheme="majorBidi"/>
          <w:b/>
          <w:u w:val="single"/>
          <w:lang w:val="en-US" w:eastAsia="el-GR"/>
        </w:rPr>
      </w:pPr>
      <w:bookmarkStart w:id="0" w:name="_Toc4980653"/>
      <w:r w:rsidRPr="00A775E6">
        <w:rPr>
          <w:rFonts w:asciiTheme="majorHAnsi" w:eastAsia="Times New Roman" w:hAnsiTheme="majorHAnsi" w:cstheme="majorBidi"/>
          <w:b/>
          <w:u w:val="single"/>
          <w:lang w:val="en-US" w:eastAsia="el-GR"/>
        </w:rPr>
        <w:t>Aura Kisieliute</w:t>
      </w:r>
      <w:r w:rsidRPr="00A775E6">
        <w:rPr>
          <w:rFonts w:asciiTheme="majorHAnsi" w:eastAsia="Times New Roman" w:hAnsiTheme="majorHAnsi" w:cstheme="majorBidi"/>
          <w:b/>
          <w:u w:val="single"/>
          <w:lang w:val="en-US" w:eastAsia="el-GR"/>
        </w:rPr>
        <w:fldChar w:fldCharType="begin"/>
      </w:r>
      <w:r w:rsidRPr="00A775E6">
        <w:rPr>
          <w:rFonts w:asciiTheme="majorHAnsi" w:eastAsiaTheme="majorEastAsia" w:hAnsiTheme="majorHAnsi" w:cstheme="majorBidi"/>
          <w:sz w:val="24"/>
          <w:szCs w:val="32"/>
          <w:lang w:val="en-US"/>
        </w:rPr>
        <w:instrText xml:space="preserve"> XE "</w:instrText>
      </w:r>
      <w:r w:rsidRPr="00A775E6">
        <w:rPr>
          <w:rFonts w:asciiTheme="majorHAnsi" w:eastAsia="Times New Roman" w:hAnsiTheme="majorHAnsi" w:cstheme="majorBidi"/>
          <w:b/>
          <w:u w:val="single"/>
          <w:lang w:val="en-US" w:eastAsia="el-GR"/>
        </w:rPr>
        <w:instrText>Aura Kisieliute</w:instrText>
      </w:r>
      <w:r w:rsidRPr="00A775E6">
        <w:rPr>
          <w:rFonts w:asciiTheme="majorHAnsi" w:eastAsiaTheme="majorEastAsia" w:hAnsiTheme="majorHAnsi" w:cstheme="majorBidi"/>
          <w:sz w:val="24"/>
          <w:szCs w:val="32"/>
          <w:lang w:val="en-US"/>
        </w:rPr>
        <w:instrText xml:space="preserve">" </w:instrText>
      </w:r>
      <w:r w:rsidRPr="00A775E6">
        <w:rPr>
          <w:rFonts w:asciiTheme="majorHAnsi" w:eastAsia="Times New Roman" w:hAnsiTheme="majorHAnsi" w:cstheme="majorBidi"/>
          <w:b/>
          <w:u w:val="single"/>
          <w:lang w:val="en-US" w:eastAsia="el-GR"/>
        </w:rPr>
        <w:fldChar w:fldCharType="end"/>
      </w:r>
      <w:r w:rsidRPr="00A775E6">
        <w:rPr>
          <w:rFonts w:asciiTheme="majorHAnsi" w:eastAsia="Times New Roman" w:hAnsiTheme="majorHAnsi" w:cstheme="majorBidi"/>
          <w:b/>
          <w:u w:val="single"/>
          <w:vertAlign w:val="superscript"/>
          <w:lang w:val="en-US" w:eastAsia="el-GR"/>
        </w:rPr>
        <w:t>1*</w:t>
      </w:r>
      <w:r w:rsidRPr="00A775E6">
        <w:rPr>
          <w:rFonts w:asciiTheme="majorHAnsi" w:eastAsia="Times New Roman" w:hAnsiTheme="majorHAnsi" w:cstheme="majorBidi"/>
          <w:b/>
          <w:lang w:val="en-US" w:eastAsia="el-GR"/>
        </w:rPr>
        <w:t xml:space="preserve">, </w:t>
      </w:r>
      <w:proofErr w:type="spellStart"/>
      <w:r w:rsidRPr="00A775E6">
        <w:rPr>
          <w:rFonts w:asciiTheme="majorHAnsi" w:eastAsia="Times New Roman" w:hAnsiTheme="majorHAnsi" w:cstheme="majorBidi"/>
          <w:b/>
          <w:lang w:val="en-US" w:eastAsia="el-GR"/>
        </w:rPr>
        <w:t>Vilius</w:t>
      </w:r>
      <w:proofErr w:type="spellEnd"/>
      <w:r w:rsidRPr="00A775E6">
        <w:rPr>
          <w:rFonts w:asciiTheme="majorHAnsi" w:eastAsia="Times New Roman" w:hAnsiTheme="majorHAnsi" w:cstheme="majorBidi"/>
          <w:b/>
          <w:lang w:val="en-US" w:eastAsia="el-GR"/>
        </w:rPr>
        <w:t xml:space="preserve"> Aukscionis</w:t>
      </w:r>
      <w:r w:rsidRPr="00A775E6">
        <w:rPr>
          <w:rFonts w:asciiTheme="majorHAnsi" w:eastAsia="Times New Roman" w:hAnsiTheme="majorHAnsi" w:cstheme="majorBidi"/>
          <w:b/>
          <w:vertAlign w:val="superscript"/>
          <w:lang w:val="en-US" w:eastAsia="el-GR"/>
        </w:rPr>
        <w:t>1</w:t>
      </w:r>
      <w:r w:rsidRPr="00A775E6">
        <w:rPr>
          <w:rFonts w:asciiTheme="majorHAnsi" w:eastAsia="Times New Roman" w:hAnsiTheme="majorHAnsi" w:cstheme="majorBidi"/>
          <w:b/>
          <w:lang w:val="en-US" w:eastAsia="el-GR"/>
        </w:rPr>
        <w:t xml:space="preserve">, </w:t>
      </w:r>
      <w:proofErr w:type="spellStart"/>
      <w:r w:rsidRPr="00A775E6">
        <w:rPr>
          <w:rFonts w:asciiTheme="majorHAnsi" w:eastAsia="Times New Roman" w:hAnsiTheme="majorHAnsi" w:cstheme="majorBidi"/>
          <w:b/>
          <w:lang w:val="en-US" w:eastAsia="el-GR"/>
        </w:rPr>
        <w:t>Antanas</w:t>
      </w:r>
      <w:proofErr w:type="spellEnd"/>
      <w:r w:rsidRPr="00A775E6">
        <w:rPr>
          <w:rFonts w:asciiTheme="majorHAnsi" w:eastAsia="Times New Roman" w:hAnsiTheme="majorHAnsi" w:cstheme="majorBidi"/>
          <w:b/>
          <w:lang w:val="en-US" w:eastAsia="el-GR"/>
        </w:rPr>
        <w:t xml:space="preserve"> Zinovicius</w:t>
      </w:r>
      <w:r w:rsidRPr="00A775E6">
        <w:rPr>
          <w:rFonts w:asciiTheme="majorHAnsi" w:eastAsia="Times New Roman" w:hAnsiTheme="majorHAnsi" w:cstheme="majorBidi"/>
          <w:b/>
          <w:vertAlign w:val="superscript"/>
          <w:lang w:val="en-US" w:eastAsia="el-GR"/>
        </w:rPr>
        <w:t>1</w:t>
      </w:r>
      <w:r w:rsidRPr="00A775E6">
        <w:rPr>
          <w:rFonts w:asciiTheme="majorHAnsi" w:eastAsia="Times New Roman" w:hAnsiTheme="majorHAnsi" w:cstheme="majorBidi"/>
          <w:b/>
          <w:lang w:val="en-US" w:eastAsia="el-GR"/>
        </w:rPr>
        <w:t xml:space="preserve">, </w:t>
      </w:r>
      <w:proofErr w:type="spellStart"/>
      <w:r w:rsidRPr="00A775E6">
        <w:rPr>
          <w:rFonts w:asciiTheme="majorHAnsi" w:eastAsia="Times New Roman" w:hAnsiTheme="majorHAnsi" w:cstheme="majorBidi"/>
          <w:b/>
          <w:lang w:val="en-US" w:eastAsia="el-GR"/>
        </w:rPr>
        <w:t>Arunas</w:t>
      </w:r>
      <w:proofErr w:type="spellEnd"/>
      <w:r w:rsidRPr="00A775E6">
        <w:rPr>
          <w:rFonts w:asciiTheme="majorHAnsi" w:eastAsia="Times New Roman" w:hAnsiTheme="majorHAnsi" w:cstheme="majorBidi"/>
          <w:b/>
          <w:lang w:val="en-US" w:eastAsia="el-GR"/>
        </w:rPr>
        <w:t xml:space="preserve"> Ramanavicius</w:t>
      </w:r>
      <w:r w:rsidRPr="00A775E6">
        <w:rPr>
          <w:rFonts w:asciiTheme="majorHAnsi" w:eastAsia="Times New Roman" w:hAnsiTheme="majorHAnsi" w:cstheme="majorBidi"/>
          <w:b/>
          <w:lang w:val="en-US" w:eastAsia="el-GR"/>
        </w:rPr>
        <w:fldChar w:fldCharType="begin"/>
      </w:r>
      <w:r w:rsidRPr="00A775E6">
        <w:rPr>
          <w:rFonts w:asciiTheme="majorHAnsi" w:eastAsiaTheme="majorEastAsia" w:hAnsiTheme="majorHAnsi" w:cstheme="majorBidi"/>
          <w:sz w:val="24"/>
          <w:szCs w:val="32"/>
          <w:lang w:val="en-US"/>
        </w:rPr>
        <w:instrText xml:space="preserve"> XE "</w:instrText>
      </w:r>
      <w:r w:rsidRPr="00A775E6">
        <w:rPr>
          <w:rFonts w:asciiTheme="majorHAnsi" w:eastAsia="Times New Roman" w:hAnsiTheme="majorHAnsi" w:cstheme="majorBidi"/>
          <w:b/>
          <w:lang w:val="en-US" w:eastAsia="el-GR"/>
        </w:rPr>
        <w:instrText>Arunas Ramanavicius</w:instrText>
      </w:r>
      <w:r w:rsidRPr="00A775E6">
        <w:rPr>
          <w:rFonts w:asciiTheme="majorHAnsi" w:eastAsiaTheme="majorEastAsia" w:hAnsiTheme="majorHAnsi" w:cstheme="majorBidi"/>
          <w:sz w:val="24"/>
          <w:szCs w:val="32"/>
          <w:lang w:val="en-US"/>
        </w:rPr>
        <w:instrText xml:space="preserve">" </w:instrText>
      </w:r>
      <w:r w:rsidRPr="00A775E6">
        <w:rPr>
          <w:rFonts w:asciiTheme="majorHAnsi" w:eastAsia="Times New Roman" w:hAnsiTheme="majorHAnsi" w:cstheme="majorBidi"/>
          <w:b/>
          <w:lang w:val="en-US" w:eastAsia="el-GR"/>
        </w:rPr>
        <w:fldChar w:fldCharType="end"/>
      </w:r>
      <w:r w:rsidRPr="00A775E6">
        <w:rPr>
          <w:rFonts w:asciiTheme="majorHAnsi" w:eastAsia="Times New Roman" w:hAnsiTheme="majorHAnsi" w:cstheme="majorBidi"/>
          <w:b/>
          <w:vertAlign w:val="superscript"/>
          <w:lang w:val="en-US" w:eastAsia="el-GR"/>
        </w:rPr>
        <w:t>1</w:t>
      </w:r>
      <w:proofErr w:type="gramStart"/>
      <w:r w:rsidRPr="00A775E6">
        <w:rPr>
          <w:rFonts w:asciiTheme="majorHAnsi" w:eastAsia="Times New Roman" w:hAnsiTheme="majorHAnsi" w:cstheme="majorBidi"/>
          <w:b/>
          <w:vertAlign w:val="superscript"/>
          <w:lang w:val="en-US" w:eastAsia="el-GR"/>
        </w:rPr>
        <w:t>,2</w:t>
      </w:r>
      <w:bookmarkEnd w:id="0"/>
      <w:proofErr w:type="gramEnd"/>
      <w:r w:rsidRPr="00A775E6">
        <w:rPr>
          <w:rFonts w:asciiTheme="majorHAnsi" w:eastAsia="Times New Roman" w:hAnsiTheme="majorHAnsi" w:cstheme="majorBidi"/>
          <w:b/>
          <w:u w:val="single"/>
          <w:lang w:val="en-US" w:eastAsia="el-GR"/>
        </w:rPr>
        <w:t xml:space="preserve"> </w:t>
      </w:r>
    </w:p>
    <w:p w:rsidR="00A775E6" w:rsidRPr="00A775E6" w:rsidRDefault="00A775E6" w:rsidP="00A775E6">
      <w:pPr>
        <w:keepNext/>
        <w:keepLines/>
        <w:spacing w:after="0" w:line="240" w:lineRule="auto"/>
        <w:contextualSpacing/>
        <w:jc w:val="center"/>
        <w:outlineLvl w:val="2"/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val="en-US" w:eastAsia="el-GR"/>
        </w:rPr>
      </w:pPr>
      <w:bookmarkStart w:id="1" w:name="_Toc4980654"/>
      <w:r w:rsidRPr="00A775E6">
        <w:rPr>
          <w:rFonts w:asciiTheme="majorHAnsi" w:eastAsia="Times New Roman" w:hAnsiTheme="majorHAnsi" w:cstheme="majorBidi"/>
          <w:color w:val="000000" w:themeColor="text1"/>
          <w:sz w:val="18"/>
          <w:szCs w:val="18"/>
          <w:vertAlign w:val="superscript"/>
          <w:lang w:val="en-US" w:eastAsia="el-GR"/>
        </w:rPr>
        <w:t>1</w:t>
      </w:r>
      <w:r w:rsidRPr="00A775E6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val="en-US" w:eastAsia="el-GR"/>
        </w:rPr>
        <w:t xml:space="preserve">Faculty of Chemistry and Geosciences, </w:t>
      </w:r>
      <w:proofErr w:type="spellStart"/>
      <w:r w:rsidRPr="00A775E6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val="en-US" w:eastAsia="el-GR"/>
        </w:rPr>
        <w:t>Naugarduko</w:t>
      </w:r>
      <w:proofErr w:type="spellEnd"/>
      <w:r w:rsidRPr="00A775E6">
        <w:rPr>
          <w:rFonts w:asciiTheme="majorHAnsi" w:eastAsia="Times New Roman" w:hAnsiTheme="majorHAnsi" w:cstheme="majorBidi"/>
          <w:color w:val="000000" w:themeColor="text1"/>
          <w:sz w:val="18"/>
          <w:szCs w:val="18"/>
          <w:lang w:val="en-US" w:eastAsia="el-GR"/>
        </w:rPr>
        <w:t xml:space="preserve"> g. 24 03225 Vilnius, Lithuania</w:t>
      </w:r>
      <w:bookmarkEnd w:id="1"/>
    </w:p>
    <w:p w:rsidR="00A775E6" w:rsidRPr="00A775E6" w:rsidRDefault="00A775E6" w:rsidP="00A775E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 w:eastAsia="el-GR"/>
        </w:rPr>
      </w:pPr>
      <w:r w:rsidRPr="00A775E6">
        <w:rPr>
          <w:rFonts w:ascii="Times New Roman" w:eastAsia="Times New Roman" w:hAnsi="Times New Roman" w:cs="Times New Roman"/>
          <w:i/>
          <w:sz w:val="18"/>
          <w:vertAlign w:val="superscript"/>
          <w:lang w:val="en-US" w:eastAsia="el-GR"/>
        </w:rPr>
        <w:t>2</w:t>
      </w:r>
      <w:r w:rsidRPr="00A775E6">
        <w:rPr>
          <w:rFonts w:ascii="Times New Roman" w:eastAsia="Times New Roman" w:hAnsi="Times New Roman" w:cs="Times New Roman"/>
          <w:i/>
          <w:sz w:val="18"/>
          <w:lang w:val="en-US" w:eastAsia="el-GR"/>
        </w:rPr>
        <w:t xml:space="preserve">Center for Physical Sciences and Technology, </w:t>
      </w:r>
      <w:proofErr w:type="spellStart"/>
      <w:r w:rsidRPr="00A775E6">
        <w:rPr>
          <w:rFonts w:ascii="Times New Roman" w:eastAsia="Times New Roman" w:hAnsi="Times New Roman" w:cs="Times New Roman"/>
          <w:i/>
          <w:sz w:val="18"/>
          <w:lang w:val="en-US" w:eastAsia="el-GR"/>
        </w:rPr>
        <w:t>Saulėtekio</w:t>
      </w:r>
      <w:proofErr w:type="spellEnd"/>
      <w:r w:rsidRPr="00A775E6">
        <w:rPr>
          <w:rFonts w:ascii="Times New Roman" w:eastAsia="Times New Roman" w:hAnsi="Times New Roman" w:cs="Times New Roman"/>
          <w:i/>
          <w:sz w:val="18"/>
          <w:lang w:val="en-US" w:eastAsia="el-GR"/>
        </w:rPr>
        <w:t xml:space="preserve"> 3, 10257 Vilnius, Lithuania</w:t>
      </w:r>
    </w:p>
    <w:p w:rsidR="00A775E6" w:rsidRPr="00A775E6" w:rsidRDefault="00A775E6" w:rsidP="00A775E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el-GR"/>
        </w:rPr>
      </w:pPr>
      <w:r w:rsidRPr="00A775E6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 xml:space="preserve">*E-mail: </w:t>
      </w:r>
      <w:hyperlink r:id="rId5" w:history="1">
        <w:r w:rsidRPr="00A775E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el-GR"/>
          </w:rPr>
          <w:t>aura.kisieliute@chgf.vu.lt</w:t>
        </w:r>
      </w:hyperlink>
      <w:r w:rsidRPr="00A775E6"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  <w:t xml:space="preserve"> </w:t>
      </w:r>
      <w:r w:rsidRPr="00A775E6">
        <w:rPr>
          <w:rFonts w:ascii="Times New Roman" w:eastAsia="Times New Roman" w:hAnsi="Times New Roman" w:cs="Times New Roman"/>
          <w:lang w:val="en-US" w:eastAsia="el-GR"/>
        </w:rPr>
        <w:t xml:space="preserve"> </w:t>
      </w:r>
    </w:p>
    <w:p w:rsidR="00A775E6" w:rsidRPr="00A775E6" w:rsidRDefault="00A775E6" w:rsidP="00A775E6">
      <w:pPr>
        <w:spacing w:after="0" w:line="3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775E6" w:rsidRPr="00A775E6" w:rsidRDefault="00A775E6" w:rsidP="00A775E6">
      <w:pPr>
        <w:spacing w:after="0" w:line="240" w:lineRule="auto"/>
        <w:jc w:val="both"/>
        <w:rPr>
          <w:rFonts w:ascii="Times New Roman" w:eastAsia="Times New Roman" w:hAnsi="Times New Roman" w:cs="Calibri"/>
          <w:szCs w:val="24"/>
          <w:lang w:val="en-US" w:eastAsia="el-GR"/>
        </w:rPr>
      </w:pPr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The metabolic activities of living organisms </w:t>
      </w:r>
      <w:proofErr w:type="gram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can be observed</w:t>
      </w:r>
      <w:proofErr w:type="gram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via electrochemical pathways. Techniques including </w:t>
      </w:r>
      <w:proofErr w:type="spell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amperometric</w:t>
      </w:r>
      <w:proofErr w:type="spell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measurements, impedance spectroscopy and scanning electrochemical microscopy give us insight about the cell’s </w:t>
      </w:r>
      <w:proofErr w:type="spell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bioelectrochemical</w:t>
      </w:r>
      <w:proofErr w:type="spell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activity</w:t>
      </w:r>
      <w:r w:rsidRPr="00A775E6">
        <w:rPr>
          <w:rFonts w:ascii="Times New Roman" w:eastAsia="Times New Roman" w:hAnsi="Times New Roman" w:cs="Calibri"/>
          <w:szCs w:val="24"/>
          <w:vertAlign w:val="superscript"/>
          <w:lang w:val="en-US" w:eastAsia="el-GR"/>
        </w:rPr>
        <w:t>1</w:t>
      </w:r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. The electron transfer </w:t>
      </w:r>
      <w:proofErr w:type="gram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can be examined</w:t>
      </w:r>
      <w:proofErr w:type="gram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using mediators: hydrophilic and/or lipophilic and an electrochemical setup. In this </w:t>
      </w:r>
      <w:proofErr w:type="gram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study</w:t>
      </w:r>
      <w:proofErr w:type="gram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we modified Saccharomyces cerevisiae living cells with an electrochemically conductive polymer-</w:t>
      </w:r>
      <w:proofErr w:type="spell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polypyrrole</w:t>
      </w:r>
      <w:proofErr w:type="spell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and/or carbon nanotubes to increase the electrical conductivity of the cell’s wall and the surface area. Such an approach can be helpful in developing better microbial fuel cells and biosensors. </w:t>
      </w:r>
    </w:p>
    <w:p w:rsidR="00A775E6" w:rsidRPr="00A775E6" w:rsidRDefault="00A775E6" w:rsidP="00A775E6">
      <w:pPr>
        <w:spacing w:after="0" w:line="240" w:lineRule="auto"/>
        <w:jc w:val="both"/>
        <w:rPr>
          <w:rFonts w:ascii="Times New Roman" w:eastAsia="Times New Roman" w:hAnsi="Times New Roman" w:cs="Calibri"/>
          <w:szCs w:val="24"/>
          <w:lang w:val="en-US" w:eastAsia="el-GR"/>
        </w:rPr>
      </w:pPr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The main part of an electrochemical device is usually the anode. Various modifications </w:t>
      </w:r>
      <w:proofErr w:type="gram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can be employed</w:t>
      </w:r>
      <w:proofErr w:type="gram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for an enhanced overall performance, however in our study we focus on facilitating the electron transfer by in vivo encapsulating the cells with electrically conductive materials</w:t>
      </w:r>
      <w:r w:rsidRPr="00A775E6">
        <w:rPr>
          <w:rFonts w:ascii="Times New Roman" w:eastAsia="Times New Roman" w:hAnsi="Times New Roman" w:cs="Calibri"/>
          <w:szCs w:val="24"/>
          <w:vertAlign w:val="superscript"/>
          <w:lang w:val="en-US" w:eastAsia="el-GR"/>
        </w:rPr>
        <w:t>2</w:t>
      </w:r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. The cells </w:t>
      </w:r>
      <w:proofErr w:type="gram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were then tested</w:t>
      </w:r>
      <w:proofErr w:type="gram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with </w:t>
      </w:r>
      <w:proofErr w:type="spell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amperometric</w:t>
      </w:r>
      <w:proofErr w:type="spell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measurements, scanning electrochemical and impedance microscopy. Nanocomposite materials such as carbon nanotubes have been widely used and offer favorable possibilities for electrode modifications yet, for a more novel </w:t>
      </w:r>
      <w:proofErr w:type="gram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approach</w:t>
      </w:r>
      <w:proofErr w:type="gram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we also encapsulate the cells with a biocompatible and conductive polymer that has the ability to mediate the interaction between the cell’s surface and the electrode. By modifying Saccharomyces cerevisiae with these conductive </w:t>
      </w:r>
      <w:proofErr w:type="gram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materials</w:t>
      </w:r>
      <w:proofErr w:type="gram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we formed various </w:t>
      </w:r>
      <w:proofErr w:type="spell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biocomposites</w:t>
      </w:r>
      <w:proofErr w:type="spell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which were then tested in an electrochemical setup. </w:t>
      </w:r>
      <w:proofErr w:type="gram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Also</w:t>
      </w:r>
      <w:proofErr w:type="gram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, the electrochemical cell was tested in two discerning mediums: a single lipophilic and a double</w:t>
      </w:r>
      <w:bookmarkStart w:id="2" w:name="_GoBack"/>
      <w:bookmarkEnd w:id="2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mediator system. </w:t>
      </w:r>
    </w:p>
    <w:p w:rsidR="00A775E6" w:rsidRPr="00A775E6" w:rsidRDefault="00A775E6" w:rsidP="00A775E6">
      <w:pPr>
        <w:spacing w:after="0" w:line="240" w:lineRule="auto"/>
        <w:jc w:val="both"/>
        <w:rPr>
          <w:rFonts w:ascii="Times New Roman" w:eastAsia="Times New Roman" w:hAnsi="Times New Roman" w:cs="Calibri"/>
          <w:szCs w:val="24"/>
          <w:lang w:val="en-US" w:eastAsia="el-GR"/>
        </w:rPr>
      </w:pPr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Such variations had different effects on the </w:t>
      </w:r>
      <w:proofErr w:type="spell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bioelectrochemical</w:t>
      </w:r>
      <w:proofErr w:type="spell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activity. Cyclic voltammetry presented differences in the extracellular electron transfer responses for different types of modified cells. The variations of </w:t>
      </w:r>
      <w:proofErr w:type="spell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bioelectrochemical</w:t>
      </w:r>
      <w:proofErr w:type="spell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activity of distinctive </w:t>
      </w:r>
      <w:proofErr w:type="spell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biocomposites</w:t>
      </w:r>
      <w:proofErr w:type="spell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</w:t>
      </w:r>
      <w:proofErr w:type="gramStart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>will be discussed</w:t>
      </w:r>
      <w:proofErr w:type="gramEnd"/>
      <w:r w:rsidRPr="00A775E6">
        <w:rPr>
          <w:rFonts w:ascii="Times New Roman" w:eastAsia="Times New Roman" w:hAnsi="Times New Roman" w:cs="Calibri"/>
          <w:szCs w:val="24"/>
          <w:lang w:val="en-US" w:eastAsia="el-GR"/>
        </w:rPr>
        <w:t xml:space="preserve"> further in detail.</w:t>
      </w:r>
    </w:p>
    <w:p w:rsidR="00A775E6" w:rsidRPr="00A775E6" w:rsidRDefault="00A775E6" w:rsidP="00A775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el-GR"/>
        </w:rPr>
      </w:pPr>
      <w:proofErr w:type="spellStart"/>
      <w:r w:rsidRPr="00A775E6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Keywords</w:t>
      </w:r>
      <w:proofErr w:type="gramStart"/>
      <w:r w:rsidRPr="00A775E6">
        <w:rPr>
          <w:rFonts w:ascii="Times New Roman" w:eastAsia="Times New Roman" w:hAnsi="Times New Roman" w:cs="Times New Roman"/>
          <w:bCs/>
          <w:sz w:val="20"/>
          <w:szCs w:val="20"/>
          <w:lang w:val="en-US" w:eastAsia="el-GR"/>
        </w:rPr>
        <w:t>:polypyrrole</w:t>
      </w:r>
      <w:proofErr w:type="spellEnd"/>
      <w:proofErr w:type="gramEnd"/>
      <w:r w:rsidRPr="00A775E6">
        <w:rPr>
          <w:rFonts w:ascii="Times New Roman" w:eastAsia="Times New Roman" w:hAnsi="Times New Roman" w:cs="Times New Roman"/>
          <w:bCs/>
          <w:sz w:val="20"/>
          <w:szCs w:val="20"/>
          <w:lang w:val="en-US" w:eastAsia="el-GR"/>
        </w:rPr>
        <w:t xml:space="preserve">, </w:t>
      </w:r>
      <w:proofErr w:type="spellStart"/>
      <w:r w:rsidRPr="00A775E6">
        <w:rPr>
          <w:rFonts w:ascii="Times New Roman" w:eastAsia="Times New Roman" w:hAnsi="Times New Roman" w:cs="Times New Roman"/>
          <w:bCs/>
          <w:sz w:val="20"/>
          <w:szCs w:val="20"/>
          <w:lang w:val="en-US" w:eastAsia="el-GR"/>
        </w:rPr>
        <w:t>bioelectrochemistry</w:t>
      </w:r>
      <w:proofErr w:type="spellEnd"/>
      <w:r w:rsidRPr="00A775E6">
        <w:rPr>
          <w:rFonts w:ascii="Times New Roman" w:eastAsia="Times New Roman" w:hAnsi="Times New Roman" w:cs="Times New Roman"/>
          <w:bCs/>
          <w:sz w:val="20"/>
          <w:szCs w:val="20"/>
          <w:lang w:val="en-US" w:eastAsia="el-GR"/>
        </w:rPr>
        <w:t xml:space="preserve">, </w:t>
      </w:r>
      <w:proofErr w:type="spellStart"/>
      <w:r w:rsidRPr="00A775E6">
        <w:rPr>
          <w:rFonts w:ascii="Times New Roman" w:eastAsia="Times New Roman" w:hAnsi="Times New Roman" w:cs="Times New Roman"/>
          <w:bCs/>
          <w:sz w:val="20"/>
          <w:szCs w:val="20"/>
          <w:lang w:val="en-US" w:eastAsia="el-GR"/>
        </w:rPr>
        <w:t>biocomposites</w:t>
      </w:r>
      <w:proofErr w:type="spellEnd"/>
      <w:r w:rsidRPr="00A775E6">
        <w:rPr>
          <w:rFonts w:ascii="Times New Roman" w:eastAsia="Times New Roman" w:hAnsi="Times New Roman" w:cs="Times New Roman"/>
          <w:bCs/>
          <w:sz w:val="20"/>
          <w:szCs w:val="20"/>
          <w:lang w:val="en-US" w:eastAsia="el-GR"/>
        </w:rPr>
        <w:t xml:space="preserve">, Saccharomyces </w:t>
      </w:r>
      <w:proofErr w:type="spellStart"/>
      <w:r w:rsidRPr="00A775E6">
        <w:rPr>
          <w:rFonts w:ascii="Times New Roman" w:eastAsia="Times New Roman" w:hAnsi="Times New Roman" w:cs="Times New Roman"/>
          <w:bCs/>
          <w:sz w:val="20"/>
          <w:szCs w:val="20"/>
          <w:lang w:val="en-US" w:eastAsia="el-GR"/>
        </w:rPr>
        <w:t>cerevisae</w:t>
      </w:r>
      <w:proofErr w:type="spellEnd"/>
      <w:r w:rsidRPr="00A775E6">
        <w:rPr>
          <w:rFonts w:ascii="Times New Roman" w:eastAsia="Times New Roman" w:hAnsi="Times New Roman" w:cs="Times New Roman"/>
          <w:bCs/>
          <w:sz w:val="20"/>
          <w:szCs w:val="20"/>
          <w:lang w:val="en-US" w:eastAsia="el-GR"/>
        </w:rPr>
        <w:t>, carbon nanotubes</w:t>
      </w:r>
    </w:p>
    <w:p w:rsidR="00A775E6" w:rsidRPr="00A775E6" w:rsidRDefault="00A775E6" w:rsidP="00A7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</w:p>
    <w:p w:rsidR="00A775E6" w:rsidRPr="00A775E6" w:rsidRDefault="00A775E6" w:rsidP="00A77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it-IT"/>
        </w:rPr>
      </w:pPr>
      <w:r w:rsidRPr="00A775E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it-IT"/>
        </w:rPr>
        <w:t>References:</w:t>
      </w:r>
    </w:p>
    <w:p w:rsidR="00A775E6" w:rsidRPr="00A775E6" w:rsidRDefault="00A775E6" w:rsidP="00A775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</w:pPr>
      <w:proofErr w:type="spellStart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Ramanavicius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A., </w:t>
      </w:r>
      <w:proofErr w:type="spellStart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Morkvenaite-Vilkonciene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I., </w:t>
      </w:r>
      <w:proofErr w:type="spellStart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Kisieliute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A., </w:t>
      </w:r>
      <w:proofErr w:type="spellStart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Petroniene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J., &amp; </w:t>
      </w:r>
      <w:proofErr w:type="spellStart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Ramanaviciene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A. Scanning electrochemical microscopy based evaluation of influence of pH on </w:t>
      </w:r>
      <w:proofErr w:type="spellStart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bioelectrochemical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activity of yeast cells− Saccharomyces cerevisiae. </w:t>
      </w:r>
      <w:r w:rsidRPr="00A775E6">
        <w:rPr>
          <w:rFonts w:ascii="Times New Roman" w:eastAsia="Calibri" w:hAnsi="Times New Roman" w:cs="Times New Roman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Colloids and Surfaces B: </w:t>
      </w:r>
      <w:proofErr w:type="spellStart"/>
      <w:r w:rsidRPr="00A775E6">
        <w:rPr>
          <w:rFonts w:ascii="Times New Roman" w:eastAsia="Calibri" w:hAnsi="Times New Roman" w:cs="Times New Roman"/>
          <w:i/>
          <w:iCs/>
          <w:color w:val="222222"/>
          <w:sz w:val="20"/>
          <w:szCs w:val="20"/>
          <w:shd w:val="clear" w:color="auto" w:fill="FFFFFF"/>
          <w:lang w:val="en-US"/>
        </w:rPr>
        <w:t>Biointerfaces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, </w:t>
      </w:r>
      <w:r w:rsidRPr="00A775E6">
        <w:rPr>
          <w:rFonts w:ascii="Times New Roman" w:eastAsia="Calibri" w:hAnsi="Times New Roman" w:cs="Times New Roman"/>
          <w:i/>
          <w:iCs/>
          <w:color w:val="222222"/>
          <w:sz w:val="20"/>
          <w:szCs w:val="20"/>
          <w:shd w:val="clear" w:color="auto" w:fill="FFFFFF"/>
          <w:lang w:val="en-US"/>
        </w:rPr>
        <w:t>149</w:t>
      </w:r>
    </w:p>
    <w:p w:rsidR="00A775E6" w:rsidRPr="00A775E6" w:rsidRDefault="00A775E6" w:rsidP="00A775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</w:pPr>
      <w:proofErr w:type="spellStart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Kisieliute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A., Popov, A., </w:t>
      </w:r>
      <w:proofErr w:type="spellStart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Apetrei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R. M., </w:t>
      </w:r>
      <w:proofErr w:type="spellStart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Carac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G., </w:t>
      </w:r>
      <w:proofErr w:type="spellStart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Morkvenaite-Vilkonciene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I., </w:t>
      </w:r>
      <w:proofErr w:type="spellStart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Ramanaviciene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A., </w:t>
      </w:r>
      <w:proofErr w:type="spellStart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Ramanavicius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A. Towards microbial biofuel cells: Improvement of charge transfer by self-modification of </w:t>
      </w:r>
      <w:proofErr w:type="spellStart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microoganisms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with conducting polymer–</w:t>
      </w:r>
      <w:proofErr w:type="spellStart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Polypyrrole</w:t>
      </w:r>
      <w:proofErr w:type="spellEnd"/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. </w:t>
      </w:r>
      <w:r w:rsidRPr="00A775E6">
        <w:rPr>
          <w:rFonts w:ascii="Times New Roman" w:eastAsia="Calibri" w:hAnsi="Times New Roman" w:cs="Times New Roman"/>
          <w:i/>
          <w:iCs/>
          <w:color w:val="222222"/>
          <w:sz w:val="20"/>
          <w:szCs w:val="20"/>
          <w:shd w:val="clear" w:color="auto" w:fill="FFFFFF"/>
          <w:lang w:val="en-US"/>
        </w:rPr>
        <w:t>Chemical Engineering Journal</w:t>
      </w:r>
      <w:r w:rsidRPr="00A775E6">
        <w:rPr>
          <w:rFonts w:ascii="Times New Roman" w:eastAsia="Calibri" w:hAnsi="Times New Roman" w:cs="Times New Roman"/>
          <w:color w:val="222222"/>
          <w:sz w:val="20"/>
          <w:szCs w:val="20"/>
          <w:shd w:val="clear" w:color="auto" w:fill="FFFFFF"/>
          <w:lang w:val="en-US"/>
        </w:rPr>
        <w:t>, </w:t>
      </w:r>
      <w:r w:rsidRPr="00A775E6">
        <w:rPr>
          <w:rFonts w:ascii="Times New Roman" w:eastAsia="Calibri" w:hAnsi="Times New Roman" w:cs="Times New Roman"/>
          <w:i/>
          <w:iCs/>
          <w:color w:val="222222"/>
          <w:sz w:val="20"/>
          <w:szCs w:val="20"/>
          <w:shd w:val="clear" w:color="auto" w:fill="FFFFFF"/>
          <w:lang w:val="en-US"/>
        </w:rPr>
        <w:t>356</w:t>
      </w:r>
    </w:p>
    <w:p w:rsidR="003032B1" w:rsidRPr="00A775E6" w:rsidRDefault="003032B1">
      <w:pPr>
        <w:rPr>
          <w:lang w:val="en-US"/>
        </w:rPr>
      </w:pPr>
    </w:p>
    <w:sectPr w:rsidR="003032B1" w:rsidRPr="00A775E6" w:rsidSect="00A775E6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750E4"/>
    <w:multiLevelType w:val="hybridMultilevel"/>
    <w:tmpl w:val="3E4E8930"/>
    <w:lvl w:ilvl="0" w:tplc="8FA88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B4"/>
    <w:rsid w:val="003032B1"/>
    <w:rsid w:val="0042674F"/>
    <w:rsid w:val="005F33B7"/>
    <w:rsid w:val="00A775E6"/>
    <w:rsid w:val="00C4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2F9DE-9D1F-4E99-98E7-318A53F7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2674F"/>
    <w:pPr>
      <w:keepNext/>
      <w:keepLines/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F33B7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674F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5F33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ra.kisieliute@chgf.vu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yaman</dc:creator>
  <cp:keywords/>
  <dc:description/>
  <cp:lastModifiedBy>mehmet yaman</cp:lastModifiedBy>
  <cp:revision>2</cp:revision>
  <dcterms:created xsi:type="dcterms:W3CDTF">2019-09-10T18:18:00Z</dcterms:created>
  <dcterms:modified xsi:type="dcterms:W3CDTF">2019-09-10T18:19:00Z</dcterms:modified>
</cp:coreProperties>
</file>